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246A8" w14:textId="21F6B79B" w:rsidR="005E2BCD" w:rsidRPr="005E2BCD" w:rsidRDefault="005E2BCD" w:rsidP="005E2BCD">
      <w:pPr>
        <w:pStyle w:val="ListParagraph"/>
        <w:numPr>
          <w:ilvl w:val="0"/>
          <w:numId w:val="2"/>
        </w:numPr>
        <w:rPr>
          <w:b/>
          <w:bCs/>
          <w:color w:val="0070C0"/>
          <w:sz w:val="20"/>
          <w:szCs w:val="20"/>
        </w:rPr>
      </w:pPr>
      <w:r w:rsidRPr="005E2BCD">
        <w:rPr>
          <w:b/>
          <w:bCs/>
          <w:color w:val="0070C0"/>
          <w:sz w:val="20"/>
          <w:szCs w:val="20"/>
        </w:rPr>
        <w:t>Choose the indicators your practice will work on improving</w:t>
      </w:r>
      <w:r>
        <w:rPr>
          <w:b/>
          <w:bCs/>
          <w:color w:val="0070C0"/>
          <w:sz w:val="20"/>
          <w:szCs w:val="20"/>
        </w:rPr>
        <w:t xml:space="preserve"> or enter your own</w:t>
      </w:r>
    </w:p>
    <w:p w14:paraId="6C93632C" w14:textId="15977054" w:rsidR="005E2BCD" w:rsidRPr="005E2BCD" w:rsidRDefault="005E2BCD" w:rsidP="005E2BCD">
      <w:pPr>
        <w:pStyle w:val="ListParagraph"/>
        <w:numPr>
          <w:ilvl w:val="0"/>
          <w:numId w:val="2"/>
        </w:numPr>
        <w:rPr>
          <w:b/>
          <w:bCs/>
          <w:color w:val="0070C0"/>
          <w:sz w:val="20"/>
          <w:szCs w:val="20"/>
        </w:rPr>
      </w:pPr>
      <w:r w:rsidRPr="005E2BCD">
        <w:rPr>
          <w:b/>
          <w:bCs/>
          <w:color w:val="0070C0"/>
          <w:sz w:val="20"/>
          <w:szCs w:val="20"/>
        </w:rPr>
        <w:t>Enter a practice target and baseline measure</w:t>
      </w:r>
      <w:r>
        <w:rPr>
          <w:b/>
          <w:bCs/>
          <w:color w:val="0070C0"/>
          <w:sz w:val="20"/>
          <w:szCs w:val="20"/>
        </w:rPr>
        <w:t xml:space="preserve"> for each indicator in the list</w:t>
      </w:r>
    </w:p>
    <w:p w14:paraId="4926B818" w14:textId="27DE5810" w:rsidR="005E2BCD" w:rsidRPr="005E2BCD" w:rsidRDefault="008100F0" w:rsidP="005E2BCD">
      <w:pPr>
        <w:pStyle w:val="ListParagraph"/>
        <w:numPr>
          <w:ilvl w:val="0"/>
          <w:numId w:val="2"/>
        </w:numPr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Enter results for each GP to help identify training needs and opportunities for improvement</w:t>
      </w:r>
      <w:r w:rsidR="008B4C8E">
        <w:rPr>
          <w:b/>
          <w:bCs/>
          <w:color w:val="0070C0"/>
          <w:sz w:val="20"/>
          <w:szCs w:val="20"/>
        </w:rPr>
        <w:t xml:space="preserve"> activities.</w:t>
      </w:r>
    </w:p>
    <w:tbl>
      <w:tblPr>
        <w:tblStyle w:val="TableGrid"/>
        <w:tblW w:w="9322" w:type="dxa"/>
        <w:tblInd w:w="-1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9"/>
        <w:gridCol w:w="1055"/>
        <w:gridCol w:w="1056"/>
        <w:gridCol w:w="1055"/>
        <w:gridCol w:w="1056"/>
        <w:gridCol w:w="1055"/>
        <w:gridCol w:w="1056"/>
      </w:tblGrid>
      <w:tr w:rsidR="006533C4" w:rsidRPr="0031763E" w14:paraId="7E335C9F" w14:textId="5073A98D" w:rsidTr="006533C4">
        <w:tc>
          <w:tcPr>
            <w:tcW w:w="2989" w:type="dxa"/>
            <w:shd w:val="clear" w:color="auto" w:fill="DEEAF6" w:themeFill="accent5" w:themeFillTint="33"/>
            <w:vAlign w:val="center"/>
          </w:tcPr>
          <w:p w14:paraId="3CB98062" w14:textId="260BE273" w:rsidR="006533C4" w:rsidRPr="0031763E" w:rsidRDefault="00AD4CCF" w:rsidP="006533C4">
            <w:pPr>
              <w:ind w:left="170"/>
              <w:rPr>
                <w:b/>
                <w:bCs/>
              </w:rPr>
            </w:pPr>
            <w:r>
              <w:rPr>
                <w:b/>
                <w:bCs/>
              </w:rPr>
              <w:t>Measure</w:t>
            </w:r>
          </w:p>
        </w:tc>
        <w:tc>
          <w:tcPr>
            <w:tcW w:w="1055" w:type="dxa"/>
            <w:shd w:val="clear" w:color="auto" w:fill="DEEAF6" w:themeFill="accent5" w:themeFillTint="33"/>
            <w:vAlign w:val="center"/>
          </w:tcPr>
          <w:p w14:paraId="0FB755FD" w14:textId="77937E7B" w:rsidR="006533C4" w:rsidRDefault="006533C4" w:rsidP="006533C4">
            <w:pPr>
              <w:ind w:left="170"/>
              <w:rPr>
                <w:b/>
                <w:bCs/>
              </w:rPr>
            </w:pPr>
            <w:r>
              <w:rPr>
                <w:b/>
                <w:bCs/>
              </w:rPr>
              <w:t xml:space="preserve">Practice </w:t>
            </w:r>
            <w:r w:rsidRPr="0031763E">
              <w:rPr>
                <w:b/>
                <w:bCs/>
              </w:rPr>
              <w:t>Target</w:t>
            </w:r>
          </w:p>
        </w:tc>
        <w:tc>
          <w:tcPr>
            <w:tcW w:w="1056" w:type="dxa"/>
            <w:shd w:val="clear" w:color="auto" w:fill="DEEAF6" w:themeFill="accent5" w:themeFillTint="33"/>
            <w:vAlign w:val="center"/>
          </w:tcPr>
          <w:p w14:paraId="337F05FF" w14:textId="1A10C08B" w:rsidR="006533C4" w:rsidRPr="0031763E" w:rsidRDefault="006533C4" w:rsidP="006533C4">
            <w:pPr>
              <w:ind w:left="170"/>
              <w:rPr>
                <w:b/>
                <w:bCs/>
              </w:rPr>
            </w:pPr>
            <w:r>
              <w:rPr>
                <w:b/>
                <w:bCs/>
              </w:rPr>
              <w:t xml:space="preserve">Practice </w:t>
            </w:r>
            <w:r w:rsidRPr="0031763E">
              <w:rPr>
                <w:b/>
                <w:bCs/>
              </w:rPr>
              <w:t>Baseline</w:t>
            </w:r>
          </w:p>
        </w:tc>
        <w:tc>
          <w:tcPr>
            <w:tcW w:w="1055" w:type="dxa"/>
            <w:shd w:val="clear" w:color="auto" w:fill="DEEAF6" w:themeFill="accent5" w:themeFillTint="33"/>
            <w:vAlign w:val="center"/>
          </w:tcPr>
          <w:p w14:paraId="74488DDE" w14:textId="062BA519" w:rsidR="006533C4" w:rsidRDefault="008100F0" w:rsidP="006533C4">
            <w:pPr>
              <w:ind w:left="170"/>
              <w:rPr>
                <w:b/>
                <w:bCs/>
              </w:rPr>
            </w:pPr>
            <w:r>
              <w:rPr>
                <w:b/>
                <w:bCs/>
              </w:rPr>
              <w:t>GP1</w:t>
            </w:r>
            <w:r w:rsidR="006533C4">
              <w:rPr>
                <w:b/>
                <w:bCs/>
              </w:rPr>
              <w:t xml:space="preserve"> </w:t>
            </w:r>
          </w:p>
          <w:p w14:paraId="49D0F7F4" w14:textId="31D8B5E7" w:rsidR="006533C4" w:rsidRDefault="006533C4" w:rsidP="006533C4">
            <w:pPr>
              <w:ind w:left="170"/>
              <w:rPr>
                <w:b/>
                <w:bCs/>
              </w:rPr>
            </w:pPr>
            <w:r>
              <w:rPr>
                <w:b/>
                <w:bCs/>
              </w:rPr>
              <w:t>Result</w:t>
            </w:r>
          </w:p>
        </w:tc>
        <w:tc>
          <w:tcPr>
            <w:tcW w:w="1056" w:type="dxa"/>
            <w:shd w:val="clear" w:color="auto" w:fill="DEEAF6" w:themeFill="accent5" w:themeFillTint="33"/>
            <w:vAlign w:val="center"/>
          </w:tcPr>
          <w:p w14:paraId="29F40C5C" w14:textId="199747D5" w:rsidR="006533C4" w:rsidRDefault="008100F0" w:rsidP="006533C4">
            <w:pPr>
              <w:ind w:left="170"/>
              <w:rPr>
                <w:b/>
                <w:bCs/>
              </w:rPr>
            </w:pPr>
            <w:r>
              <w:rPr>
                <w:b/>
                <w:bCs/>
              </w:rPr>
              <w:t>GP2</w:t>
            </w:r>
            <w:r w:rsidR="006533C4">
              <w:rPr>
                <w:b/>
                <w:bCs/>
              </w:rPr>
              <w:t xml:space="preserve"> Result</w:t>
            </w:r>
          </w:p>
        </w:tc>
        <w:tc>
          <w:tcPr>
            <w:tcW w:w="1055" w:type="dxa"/>
            <w:shd w:val="clear" w:color="auto" w:fill="DEEAF6" w:themeFill="accent5" w:themeFillTint="33"/>
            <w:vAlign w:val="center"/>
          </w:tcPr>
          <w:p w14:paraId="1841F1F7" w14:textId="4E22BB13" w:rsidR="006533C4" w:rsidRDefault="008100F0" w:rsidP="006533C4">
            <w:pPr>
              <w:ind w:left="170"/>
              <w:rPr>
                <w:b/>
                <w:bCs/>
              </w:rPr>
            </w:pPr>
            <w:r>
              <w:rPr>
                <w:b/>
                <w:bCs/>
              </w:rPr>
              <w:t>GP3</w:t>
            </w:r>
            <w:r w:rsidR="006533C4">
              <w:rPr>
                <w:b/>
                <w:bCs/>
              </w:rPr>
              <w:t xml:space="preserve"> </w:t>
            </w:r>
          </w:p>
          <w:p w14:paraId="003C7066" w14:textId="34EC55E4" w:rsidR="006533C4" w:rsidRDefault="006533C4" w:rsidP="006533C4">
            <w:pPr>
              <w:ind w:left="170"/>
              <w:rPr>
                <w:b/>
                <w:bCs/>
              </w:rPr>
            </w:pPr>
            <w:r>
              <w:rPr>
                <w:b/>
                <w:bCs/>
              </w:rPr>
              <w:t>Result</w:t>
            </w:r>
          </w:p>
        </w:tc>
        <w:tc>
          <w:tcPr>
            <w:tcW w:w="1056" w:type="dxa"/>
            <w:shd w:val="clear" w:color="auto" w:fill="DEEAF6" w:themeFill="accent5" w:themeFillTint="33"/>
            <w:vAlign w:val="center"/>
          </w:tcPr>
          <w:p w14:paraId="6D79B3FD" w14:textId="6656A3EF" w:rsidR="006533C4" w:rsidRDefault="008100F0" w:rsidP="006533C4">
            <w:pPr>
              <w:ind w:left="170"/>
              <w:rPr>
                <w:b/>
                <w:bCs/>
              </w:rPr>
            </w:pPr>
            <w:r>
              <w:rPr>
                <w:b/>
                <w:bCs/>
              </w:rPr>
              <w:t>GP4</w:t>
            </w:r>
          </w:p>
          <w:p w14:paraId="29B0BB4B" w14:textId="70FAE5DF" w:rsidR="006533C4" w:rsidRDefault="006533C4" w:rsidP="006533C4">
            <w:pPr>
              <w:ind w:left="170"/>
              <w:rPr>
                <w:b/>
                <w:bCs/>
              </w:rPr>
            </w:pPr>
            <w:r>
              <w:rPr>
                <w:b/>
                <w:bCs/>
              </w:rPr>
              <w:t>Result</w:t>
            </w:r>
          </w:p>
        </w:tc>
      </w:tr>
      <w:tr w:rsidR="006533C4" w:rsidRPr="0031763E" w14:paraId="1D6E10F6" w14:textId="4D647985" w:rsidTr="006533C4">
        <w:tc>
          <w:tcPr>
            <w:tcW w:w="2989" w:type="dxa"/>
          </w:tcPr>
          <w:p w14:paraId="2BEE3945" w14:textId="77777777" w:rsidR="006533C4" w:rsidRDefault="0031763E" w:rsidP="0031763E">
            <w:pPr>
              <w:numPr>
                <w:ilvl w:val="0"/>
                <w:numId w:val="1"/>
              </w:numPr>
              <w:ind w:left="397"/>
            </w:pPr>
            <w:r w:rsidRPr="0031763E">
              <w:t>Proportion of patients with smoking status recorded</w:t>
            </w:r>
          </w:p>
          <w:p w14:paraId="1375497C" w14:textId="696D94B1" w:rsidR="00EF251B" w:rsidRPr="0031763E" w:rsidRDefault="00EF251B" w:rsidP="00EF251B">
            <w:pPr>
              <w:ind w:left="397"/>
            </w:pPr>
          </w:p>
        </w:tc>
        <w:tc>
          <w:tcPr>
            <w:tcW w:w="1055" w:type="dxa"/>
          </w:tcPr>
          <w:p w14:paraId="1A153DEF" w14:textId="0F7D85EA" w:rsidR="006533C4" w:rsidRPr="0031763E" w:rsidRDefault="006533C4" w:rsidP="0031763E">
            <w:pPr>
              <w:ind w:left="397"/>
            </w:pPr>
            <w:r>
              <w:t>90%</w:t>
            </w:r>
          </w:p>
        </w:tc>
        <w:tc>
          <w:tcPr>
            <w:tcW w:w="1056" w:type="dxa"/>
          </w:tcPr>
          <w:p w14:paraId="1590C821" w14:textId="01184C15" w:rsidR="006533C4" w:rsidRPr="0031763E" w:rsidRDefault="006533C4" w:rsidP="0031763E">
            <w:pPr>
              <w:ind w:left="397"/>
            </w:pPr>
            <w:r>
              <w:t>44%</w:t>
            </w:r>
          </w:p>
        </w:tc>
        <w:tc>
          <w:tcPr>
            <w:tcW w:w="1055" w:type="dxa"/>
          </w:tcPr>
          <w:p w14:paraId="58F3520F" w14:textId="181BAB10" w:rsidR="006533C4" w:rsidRPr="0031763E" w:rsidRDefault="008100F0" w:rsidP="0031763E">
            <w:pPr>
              <w:ind w:left="397"/>
            </w:pPr>
            <w:r>
              <w:t>23%</w:t>
            </w:r>
          </w:p>
        </w:tc>
        <w:tc>
          <w:tcPr>
            <w:tcW w:w="1056" w:type="dxa"/>
          </w:tcPr>
          <w:p w14:paraId="777E3562" w14:textId="169A205F" w:rsidR="006533C4" w:rsidRPr="0031763E" w:rsidRDefault="008100F0" w:rsidP="0031763E">
            <w:pPr>
              <w:ind w:left="397"/>
            </w:pPr>
            <w:r>
              <w:t>20%</w:t>
            </w:r>
          </w:p>
        </w:tc>
        <w:tc>
          <w:tcPr>
            <w:tcW w:w="1055" w:type="dxa"/>
          </w:tcPr>
          <w:p w14:paraId="2296C82C" w14:textId="7A5BA871" w:rsidR="006533C4" w:rsidRPr="0031763E" w:rsidRDefault="006533C4" w:rsidP="0031763E">
            <w:pPr>
              <w:ind w:left="397"/>
            </w:pPr>
            <w:r>
              <w:t>5</w:t>
            </w:r>
            <w:r w:rsidR="008100F0">
              <w:t>5%</w:t>
            </w:r>
          </w:p>
        </w:tc>
        <w:tc>
          <w:tcPr>
            <w:tcW w:w="1056" w:type="dxa"/>
          </w:tcPr>
          <w:p w14:paraId="0D8A0632" w14:textId="3AC5BB58" w:rsidR="006533C4" w:rsidRPr="0031763E" w:rsidRDefault="008100F0" w:rsidP="0031763E">
            <w:pPr>
              <w:ind w:left="397"/>
            </w:pPr>
            <w:r>
              <w:t>12</w:t>
            </w:r>
            <w:r w:rsidR="006533C4">
              <w:t>%</w:t>
            </w:r>
          </w:p>
        </w:tc>
      </w:tr>
      <w:tr w:rsidR="006533C4" w:rsidRPr="0031763E" w14:paraId="62083F69" w14:textId="4ADB7F99" w:rsidTr="006533C4">
        <w:tc>
          <w:tcPr>
            <w:tcW w:w="2989" w:type="dxa"/>
          </w:tcPr>
          <w:p w14:paraId="48EA264E" w14:textId="77777777" w:rsidR="006533C4" w:rsidRDefault="0031763E" w:rsidP="0031763E">
            <w:pPr>
              <w:numPr>
                <w:ilvl w:val="0"/>
                <w:numId w:val="1"/>
              </w:numPr>
              <w:ind w:left="397"/>
            </w:pPr>
            <w:r w:rsidRPr="0031763E">
              <w:t>Proportion of patients with alcohol status recorded</w:t>
            </w:r>
          </w:p>
          <w:p w14:paraId="228D60B2" w14:textId="6D17E647" w:rsidR="00EF251B" w:rsidRPr="0031763E" w:rsidRDefault="00EF251B" w:rsidP="00EF251B">
            <w:pPr>
              <w:ind w:left="397"/>
            </w:pPr>
          </w:p>
        </w:tc>
        <w:tc>
          <w:tcPr>
            <w:tcW w:w="1055" w:type="dxa"/>
          </w:tcPr>
          <w:p w14:paraId="5E0891FC" w14:textId="293BA823" w:rsidR="006533C4" w:rsidRPr="0031763E" w:rsidRDefault="006533C4" w:rsidP="0031763E">
            <w:pPr>
              <w:ind w:left="397"/>
            </w:pPr>
            <w:r>
              <w:t>75%</w:t>
            </w:r>
          </w:p>
        </w:tc>
        <w:tc>
          <w:tcPr>
            <w:tcW w:w="1056" w:type="dxa"/>
          </w:tcPr>
          <w:p w14:paraId="24C35067" w14:textId="76E33281" w:rsidR="006533C4" w:rsidRPr="0031763E" w:rsidRDefault="006533C4" w:rsidP="0031763E">
            <w:pPr>
              <w:ind w:left="397"/>
            </w:pPr>
            <w:r>
              <w:t>23%</w:t>
            </w:r>
          </w:p>
        </w:tc>
        <w:tc>
          <w:tcPr>
            <w:tcW w:w="1055" w:type="dxa"/>
          </w:tcPr>
          <w:p w14:paraId="55D3E012" w14:textId="410C5A01" w:rsidR="006533C4" w:rsidRPr="0031763E" w:rsidRDefault="008100F0" w:rsidP="0031763E">
            <w:pPr>
              <w:ind w:left="397"/>
            </w:pPr>
            <w:r>
              <w:t>5%</w:t>
            </w:r>
          </w:p>
        </w:tc>
        <w:tc>
          <w:tcPr>
            <w:tcW w:w="1056" w:type="dxa"/>
          </w:tcPr>
          <w:p w14:paraId="17F75CD5" w14:textId="205B02F1" w:rsidR="006533C4" w:rsidRPr="0031763E" w:rsidRDefault="008100F0" w:rsidP="0031763E">
            <w:pPr>
              <w:ind w:left="397"/>
            </w:pPr>
            <w:r>
              <w:t>8%</w:t>
            </w:r>
          </w:p>
        </w:tc>
        <w:tc>
          <w:tcPr>
            <w:tcW w:w="1055" w:type="dxa"/>
          </w:tcPr>
          <w:p w14:paraId="61BAF55C" w14:textId="2959E5F2" w:rsidR="006533C4" w:rsidRPr="0031763E" w:rsidRDefault="006533C4" w:rsidP="0031763E">
            <w:pPr>
              <w:ind w:left="397"/>
            </w:pPr>
            <w:r>
              <w:t>6%</w:t>
            </w:r>
          </w:p>
        </w:tc>
        <w:tc>
          <w:tcPr>
            <w:tcW w:w="1056" w:type="dxa"/>
          </w:tcPr>
          <w:p w14:paraId="5C63B006" w14:textId="60877A71" w:rsidR="006533C4" w:rsidRPr="0031763E" w:rsidRDefault="008100F0" w:rsidP="0031763E">
            <w:pPr>
              <w:ind w:left="397"/>
            </w:pPr>
            <w:r>
              <w:t>2</w:t>
            </w:r>
            <w:r w:rsidR="006533C4">
              <w:t>%</w:t>
            </w:r>
          </w:p>
        </w:tc>
      </w:tr>
      <w:tr w:rsidR="006533C4" w:rsidRPr="0031763E" w14:paraId="44EACD6D" w14:textId="0979F8E6" w:rsidTr="006533C4">
        <w:trPr>
          <w:trHeight w:val="50"/>
        </w:trPr>
        <w:tc>
          <w:tcPr>
            <w:tcW w:w="2989" w:type="dxa"/>
          </w:tcPr>
          <w:p w14:paraId="11FA6A05" w14:textId="7775734B" w:rsidR="006533C4" w:rsidRDefault="0031763E" w:rsidP="0031763E">
            <w:pPr>
              <w:numPr>
                <w:ilvl w:val="0"/>
                <w:numId w:val="1"/>
              </w:numPr>
              <w:ind w:left="397"/>
            </w:pPr>
            <w:r w:rsidRPr="0031763E">
              <w:t>Proportion of patients with weight </w:t>
            </w:r>
            <w:r w:rsidR="00136AB9">
              <w:t xml:space="preserve">classification </w:t>
            </w:r>
            <w:r w:rsidRPr="0031763E">
              <w:t>recorded</w:t>
            </w:r>
          </w:p>
          <w:p w14:paraId="71759873" w14:textId="59CC698F" w:rsidR="00EF251B" w:rsidRPr="0031763E" w:rsidRDefault="00EF251B" w:rsidP="00EF251B">
            <w:pPr>
              <w:ind w:left="397"/>
            </w:pPr>
          </w:p>
        </w:tc>
        <w:tc>
          <w:tcPr>
            <w:tcW w:w="1055" w:type="dxa"/>
          </w:tcPr>
          <w:p w14:paraId="57B8BC72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476676E7" w14:textId="09D55208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30AB3B3C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30EE4338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274E3326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7E0CF6FE" w14:textId="77777777" w:rsidR="006533C4" w:rsidRPr="0031763E" w:rsidRDefault="006533C4" w:rsidP="0031763E">
            <w:pPr>
              <w:ind w:left="397"/>
            </w:pPr>
          </w:p>
        </w:tc>
      </w:tr>
      <w:tr w:rsidR="006533C4" w:rsidRPr="0031763E" w14:paraId="796D1797" w14:textId="5C01C5DF" w:rsidTr="006533C4">
        <w:tc>
          <w:tcPr>
            <w:tcW w:w="2989" w:type="dxa"/>
          </w:tcPr>
          <w:p w14:paraId="7ED7A330" w14:textId="77777777" w:rsidR="006533C4" w:rsidRPr="0031763E" w:rsidRDefault="0031763E" w:rsidP="0031763E">
            <w:pPr>
              <w:numPr>
                <w:ilvl w:val="0"/>
                <w:numId w:val="1"/>
              </w:numPr>
              <w:ind w:left="397"/>
            </w:pPr>
            <w:r w:rsidRPr="0031763E">
              <w:t>Proportion of patients with up-to-date cervical screening.</w:t>
            </w:r>
          </w:p>
        </w:tc>
        <w:tc>
          <w:tcPr>
            <w:tcW w:w="1055" w:type="dxa"/>
          </w:tcPr>
          <w:p w14:paraId="6D75FC37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319C6B6A" w14:textId="65223C73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55FEACE3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6704EF34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4B10E523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6233437C" w14:textId="77777777" w:rsidR="006533C4" w:rsidRPr="0031763E" w:rsidRDefault="006533C4" w:rsidP="0031763E">
            <w:pPr>
              <w:ind w:left="397"/>
            </w:pPr>
          </w:p>
        </w:tc>
      </w:tr>
      <w:tr w:rsidR="006533C4" w:rsidRPr="0031763E" w14:paraId="5E98AFDD" w14:textId="0F893AF4" w:rsidTr="006533C4">
        <w:tc>
          <w:tcPr>
            <w:tcW w:w="2989" w:type="dxa"/>
          </w:tcPr>
          <w:p w14:paraId="692EFE4E" w14:textId="77777777" w:rsidR="006533C4" w:rsidRPr="0031763E" w:rsidRDefault="0031763E" w:rsidP="0031763E">
            <w:pPr>
              <w:numPr>
                <w:ilvl w:val="0"/>
                <w:numId w:val="1"/>
              </w:numPr>
              <w:ind w:left="397"/>
            </w:pPr>
            <w:r w:rsidRPr="0031763E">
              <w:t>Proportion of patients with diabetes with blood pressure recorded</w:t>
            </w:r>
          </w:p>
        </w:tc>
        <w:tc>
          <w:tcPr>
            <w:tcW w:w="1055" w:type="dxa"/>
          </w:tcPr>
          <w:p w14:paraId="257B2F31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4ADED951" w14:textId="6259AE28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4DF2F4C9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5D249225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1EA758BE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15042A0C" w14:textId="77777777" w:rsidR="006533C4" w:rsidRPr="0031763E" w:rsidRDefault="006533C4" w:rsidP="0031763E">
            <w:pPr>
              <w:ind w:left="397"/>
            </w:pPr>
          </w:p>
        </w:tc>
      </w:tr>
      <w:tr w:rsidR="006533C4" w:rsidRPr="0031763E" w14:paraId="2FFE7F7C" w14:textId="0555211C" w:rsidTr="006533C4">
        <w:tc>
          <w:tcPr>
            <w:tcW w:w="2989" w:type="dxa"/>
          </w:tcPr>
          <w:p w14:paraId="229FAD38" w14:textId="77777777" w:rsidR="006533C4" w:rsidRPr="0031763E" w:rsidRDefault="0031763E" w:rsidP="0031763E">
            <w:pPr>
              <w:numPr>
                <w:ilvl w:val="0"/>
                <w:numId w:val="1"/>
              </w:numPr>
              <w:ind w:left="397"/>
            </w:pPr>
            <w:r w:rsidRPr="0031763E">
              <w:t>Proportion of patients with diabetes with current HbA1c result</w:t>
            </w:r>
          </w:p>
        </w:tc>
        <w:tc>
          <w:tcPr>
            <w:tcW w:w="1055" w:type="dxa"/>
          </w:tcPr>
          <w:p w14:paraId="5D692493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62C50174" w14:textId="01CE2B8B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76630DE7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3B6A4D26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2DE3DC82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198F2215" w14:textId="77777777" w:rsidR="006533C4" w:rsidRPr="0031763E" w:rsidRDefault="006533C4" w:rsidP="0031763E">
            <w:pPr>
              <w:ind w:left="397"/>
            </w:pPr>
          </w:p>
        </w:tc>
      </w:tr>
      <w:tr w:rsidR="006533C4" w:rsidRPr="0031763E" w14:paraId="05D1CF0C" w14:textId="1D2C4439" w:rsidTr="006533C4">
        <w:tc>
          <w:tcPr>
            <w:tcW w:w="2989" w:type="dxa"/>
          </w:tcPr>
          <w:p w14:paraId="516D8CB7" w14:textId="77777777" w:rsidR="006533C4" w:rsidRPr="0031763E" w:rsidRDefault="0031763E" w:rsidP="0031763E">
            <w:pPr>
              <w:numPr>
                <w:ilvl w:val="0"/>
                <w:numId w:val="1"/>
              </w:numPr>
              <w:ind w:left="397"/>
            </w:pPr>
            <w:r w:rsidRPr="0031763E">
              <w:t>Patients with diabetes immunised against influenza</w:t>
            </w:r>
          </w:p>
        </w:tc>
        <w:tc>
          <w:tcPr>
            <w:tcW w:w="1055" w:type="dxa"/>
          </w:tcPr>
          <w:p w14:paraId="7723D5E0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72BC2C0F" w14:textId="25ACF446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55440598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437ABAA4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46420909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6E617F4D" w14:textId="77777777" w:rsidR="006533C4" w:rsidRPr="0031763E" w:rsidRDefault="006533C4" w:rsidP="0031763E">
            <w:pPr>
              <w:ind w:left="397"/>
            </w:pPr>
          </w:p>
        </w:tc>
      </w:tr>
      <w:tr w:rsidR="006533C4" w:rsidRPr="0031763E" w14:paraId="69389655" w14:textId="2FA2475B" w:rsidTr="006533C4">
        <w:tc>
          <w:tcPr>
            <w:tcW w:w="2989" w:type="dxa"/>
          </w:tcPr>
          <w:p w14:paraId="5D00B18F" w14:textId="77777777" w:rsidR="006533C4" w:rsidRPr="0031763E" w:rsidRDefault="0031763E" w:rsidP="0031763E">
            <w:pPr>
              <w:numPr>
                <w:ilvl w:val="0"/>
                <w:numId w:val="1"/>
              </w:numPr>
              <w:ind w:left="397"/>
            </w:pPr>
            <w:r w:rsidRPr="0031763E">
              <w:t>Proportion of patients with COPD &amp; immunised against influenza</w:t>
            </w:r>
          </w:p>
        </w:tc>
        <w:tc>
          <w:tcPr>
            <w:tcW w:w="1055" w:type="dxa"/>
          </w:tcPr>
          <w:p w14:paraId="4FD15FAF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7EA8AF9C" w14:textId="34D0F846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252DA490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651B2050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7F9838E9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0DCC2E18" w14:textId="77777777" w:rsidR="006533C4" w:rsidRPr="0031763E" w:rsidRDefault="006533C4" w:rsidP="0031763E">
            <w:pPr>
              <w:ind w:left="397"/>
            </w:pPr>
          </w:p>
        </w:tc>
      </w:tr>
      <w:tr w:rsidR="006533C4" w:rsidRPr="0031763E" w14:paraId="67246744" w14:textId="3F391D9B" w:rsidTr="006533C4">
        <w:tc>
          <w:tcPr>
            <w:tcW w:w="2989" w:type="dxa"/>
          </w:tcPr>
          <w:p w14:paraId="3AEC1C23" w14:textId="77777777" w:rsidR="006533C4" w:rsidRPr="0031763E" w:rsidRDefault="0031763E" w:rsidP="0031763E">
            <w:pPr>
              <w:numPr>
                <w:ilvl w:val="0"/>
                <w:numId w:val="1"/>
              </w:numPr>
              <w:ind w:left="397"/>
            </w:pPr>
            <w:r w:rsidRPr="0031763E">
              <w:t>Proportion of patients over 65 immunised against influenza</w:t>
            </w:r>
          </w:p>
        </w:tc>
        <w:tc>
          <w:tcPr>
            <w:tcW w:w="1055" w:type="dxa"/>
          </w:tcPr>
          <w:p w14:paraId="64AFD1CA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0F003BB7" w14:textId="2E5096A4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50D84F17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6FFB9E83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0D3187CC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40335156" w14:textId="77777777" w:rsidR="006533C4" w:rsidRPr="0031763E" w:rsidRDefault="006533C4" w:rsidP="0031763E">
            <w:pPr>
              <w:ind w:left="397"/>
            </w:pPr>
          </w:p>
        </w:tc>
      </w:tr>
      <w:tr w:rsidR="006533C4" w:rsidRPr="0031763E" w14:paraId="64C567C1" w14:textId="42C0208F" w:rsidTr="006533C4">
        <w:tc>
          <w:tcPr>
            <w:tcW w:w="2989" w:type="dxa"/>
          </w:tcPr>
          <w:p w14:paraId="7A9A8A72" w14:textId="77777777" w:rsidR="006533C4" w:rsidRPr="0031763E" w:rsidRDefault="0031763E" w:rsidP="0031763E">
            <w:pPr>
              <w:numPr>
                <w:ilvl w:val="0"/>
                <w:numId w:val="1"/>
              </w:numPr>
              <w:ind w:left="397"/>
            </w:pPr>
            <w:r w:rsidRPr="0031763E">
              <w:t>Proportion of patients with necessary risk factors to enable CVD assessment</w:t>
            </w:r>
          </w:p>
        </w:tc>
        <w:tc>
          <w:tcPr>
            <w:tcW w:w="1055" w:type="dxa"/>
          </w:tcPr>
          <w:p w14:paraId="2E85EC48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15BE2317" w14:textId="481025C6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7A5C7CB8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5F7A0FFE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5FADDCFF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2C0414AE" w14:textId="77777777" w:rsidR="006533C4" w:rsidRPr="0031763E" w:rsidRDefault="006533C4" w:rsidP="0031763E">
            <w:pPr>
              <w:ind w:left="397"/>
            </w:pPr>
          </w:p>
        </w:tc>
      </w:tr>
      <w:tr w:rsidR="006533C4" w:rsidRPr="0031763E" w14:paraId="5CA87D6E" w14:textId="77777777" w:rsidTr="006533C4">
        <w:tc>
          <w:tcPr>
            <w:tcW w:w="2989" w:type="dxa"/>
          </w:tcPr>
          <w:p w14:paraId="62C46FE6" w14:textId="0F37C78E" w:rsidR="006533C4" w:rsidRPr="0031763E" w:rsidRDefault="00EF251B" w:rsidP="0031763E">
            <w:pPr>
              <w:numPr>
                <w:ilvl w:val="0"/>
                <w:numId w:val="1"/>
              </w:numPr>
              <w:ind w:left="397"/>
            </w:pPr>
            <w:r>
              <w:t>P</w:t>
            </w:r>
            <w:r w:rsidR="006533C4">
              <w:t>roportion of patients aged 75+ with a Health Assessment in &lt; 12 months</w:t>
            </w:r>
          </w:p>
        </w:tc>
        <w:tc>
          <w:tcPr>
            <w:tcW w:w="1055" w:type="dxa"/>
          </w:tcPr>
          <w:p w14:paraId="2505AFB6" w14:textId="7FB469F8" w:rsidR="006533C4" w:rsidRPr="0031763E" w:rsidRDefault="006533C4" w:rsidP="0031763E">
            <w:pPr>
              <w:ind w:left="397"/>
            </w:pPr>
            <w:r>
              <w:t>50%</w:t>
            </w:r>
          </w:p>
        </w:tc>
        <w:tc>
          <w:tcPr>
            <w:tcW w:w="1056" w:type="dxa"/>
          </w:tcPr>
          <w:p w14:paraId="663294D5" w14:textId="532E5DA9" w:rsidR="006533C4" w:rsidRPr="0031763E" w:rsidRDefault="006533C4" w:rsidP="0031763E">
            <w:pPr>
              <w:ind w:left="397"/>
            </w:pPr>
            <w:r>
              <w:t>2%</w:t>
            </w:r>
          </w:p>
        </w:tc>
        <w:tc>
          <w:tcPr>
            <w:tcW w:w="1055" w:type="dxa"/>
          </w:tcPr>
          <w:p w14:paraId="3D84A6AA" w14:textId="0E285F31" w:rsidR="006533C4" w:rsidRPr="0031763E" w:rsidRDefault="006533C4" w:rsidP="0031763E">
            <w:pPr>
              <w:ind w:left="397"/>
            </w:pPr>
            <w:r>
              <w:t>3%</w:t>
            </w:r>
          </w:p>
        </w:tc>
        <w:tc>
          <w:tcPr>
            <w:tcW w:w="1056" w:type="dxa"/>
          </w:tcPr>
          <w:p w14:paraId="24FAA831" w14:textId="3624FEFE" w:rsidR="006533C4" w:rsidRPr="0031763E" w:rsidRDefault="006533C4" w:rsidP="0031763E">
            <w:pPr>
              <w:ind w:left="397"/>
            </w:pPr>
            <w:r>
              <w:t>6%</w:t>
            </w:r>
          </w:p>
        </w:tc>
        <w:tc>
          <w:tcPr>
            <w:tcW w:w="1055" w:type="dxa"/>
          </w:tcPr>
          <w:p w14:paraId="3F1330E0" w14:textId="61112C5E" w:rsidR="006533C4" w:rsidRPr="0031763E" w:rsidRDefault="006533C4" w:rsidP="0031763E">
            <w:pPr>
              <w:ind w:left="397"/>
            </w:pPr>
            <w:r>
              <w:t>6%</w:t>
            </w:r>
          </w:p>
        </w:tc>
        <w:tc>
          <w:tcPr>
            <w:tcW w:w="1056" w:type="dxa"/>
          </w:tcPr>
          <w:p w14:paraId="5E46C961" w14:textId="2E4459DD" w:rsidR="006533C4" w:rsidRPr="0031763E" w:rsidRDefault="006533C4" w:rsidP="0031763E">
            <w:pPr>
              <w:ind w:left="397"/>
            </w:pPr>
            <w:r>
              <w:t>8%</w:t>
            </w:r>
          </w:p>
        </w:tc>
      </w:tr>
      <w:tr w:rsidR="006533C4" w:rsidRPr="0031763E" w14:paraId="227614EE" w14:textId="77777777" w:rsidTr="006533C4">
        <w:tc>
          <w:tcPr>
            <w:tcW w:w="2989" w:type="dxa"/>
          </w:tcPr>
          <w:p w14:paraId="0624ED63" w14:textId="5B9DC289" w:rsidR="006533C4" w:rsidRPr="0031763E" w:rsidRDefault="006533C4" w:rsidP="0031763E">
            <w:pPr>
              <w:numPr>
                <w:ilvl w:val="0"/>
                <w:numId w:val="1"/>
              </w:numPr>
              <w:ind w:left="397"/>
            </w:pPr>
            <w:r>
              <w:t>Proportion of patients &gt; 50 years with bowel screening test done in last 2 years</w:t>
            </w:r>
          </w:p>
        </w:tc>
        <w:tc>
          <w:tcPr>
            <w:tcW w:w="1055" w:type="dxa"/>
          </w:tcPr>
          <w:p w14:paraId="51B3A9EF" w14:textId="17038CBD" w:rsidR="006533C4" w:rsidRPr="0031763E" w:rsidRDefault="006533C4" w:rsidP="0031763E">
            <w:pPr>
              <w:ind w:left="397"/>
            </w:pPr>
            <w:r>
              <w:t>65%</w:t>
            </w:r>
          </w:p>
        </w:tc>
        <w:tc>
          <w:tcPr>
            <w:tcW w:w="1056" w:type="dxa"/>
          </w:tcPr>
          <w:p w14:paraId="748B0DCA" w14:textId="35555B21" w:rsidR="006533C4" w:rsidRPr="0031763E" w:rsidRDefault="006533C4" w:rsidP="0031763E">
            <w:pPr>
              <w:ind w:left="397"/>
            </w:pPr>
            <w:r>
              <w:t>1%</w:t>
            </w:r>
          </w:p>
        </w:tc>
        <w:tc>
          <w:tcPr>
            <w:tcW w:w="1055" w:type="dxa"/>
          </w:tcPr>
          <w:p w14:paraId="159CE1AA" w14:textId="6DDDDA5D" w:rsidR="006533C4" w:rsidRPr="0031763E" w:rsidRDefault="006533C4" w:rsidP="0031763E">
            <w:pPr>
              <w:ind w:left="397"/>
            </w:pPr>
            <w:r>
              <w:t>3%</w:t>
            </w:r>
          </w:p>
        </w:tc>
        <w:tc>
          <w:tcPr>
            <w:tcW w:w="1056" w:type="dxa"/>
          </w:tcPr>
          <w:p w14:paraId="3E8A0429" w14:textId="26473C48" w:rsidR="006533C4" w:rsidRPr="0031763E" w:rsidRDefault="006533C4" w:rsidP="0031763E">
            <w:pPr>
              <w:ind w:left="397"/>
            </w:pPr>
            <w:r>
              <w:t>7%</w:t>
            </w:r>
          </w:p>
        </w:tc>
        <w:tc>
          <w:tcPr>
            <w:tcW w:w="1055" w:type="dxa"/>
          </w:tcPr>
          <w:p w14:paraId="4FCE64B9" w14:textId="54770502" w:rsidR="006533C4" w:rsidRPr="0031763E" w:rsidRDefault="006533C4" w:rsidP="0031763E">
            <w:pPr>
              <w:ind w:left="397"/>
            </w:pPr>
            <w:r>
              <w:t>10%</w:t>
            </w:r>
          </w:p>
        </w:tc>
        <w:tc>
          <w:tcPr>
            <w:tcW w:w="1056" w:type="dxa"/>
          </w:tcPr>
          <w:p w14:paraId="3BFAE027" w14:textId="06EF2374" w:rsidR="006533C4" w:rsidRPr="0031763E" w:rsidRDefault="006533C4" w:rsidP="0031763E">
            <w:pPr>
              <w:ind w:left="397"/>
            </w:pPr>
            <w:r>
              <w:t>16%</w:t>
            </w:r>
          </w:p>
        </w:tc>
      </w:tr>
    </w:tbl>
    <w:p w14:paraId="277C7921" w14:textId="3FCE3A4F" w:rsidR="00EF251B" w:rsidRDefault="00EF251B" w:rsidP="00EF251B">
      <w:r w:rsidRPr="00AD4CCF">
        <w:rPr>
          <w:b/>
          <w:bCs/>
        </w:rPr>
        <w:t>Note:</w:t>
      </w:r>
      <w:r>
        <w:t xml:space="preserve"> </w:t>
      </w:r>
      <w:r w:rsidR="00AD4CCF">
        <w:t>Measure</w:t>
      </w:r>
      <w:r>
        <w:t xml:space="preserve">s 1-10 (above) are </w:t>
      </w:r>
      <w:r w:rsidR="00AD4CCF">
        <w:t>specified improvement area identified by D</w:t>
      </w:r>
      <w:r w:rsidR="00136AB9">
        <w:t>ept of Health</w:t>
      </w:r>
      <w:bookmarkStart w:id="0" w:name="_GoBack"/>
      <w:bookmarkEnd w:id="0"/>
      <w:r w:rsidR="00AD4CCF">
        <w:t xml:space="preserve"> that each </w:t>
      </w:r>
      <w:r>
        <w:t>participating practice is required to submit</w:t>
      </w:r>
      <w:r w:rsidR="00AD4CCF">
        <w:t xml:space="preserve"> on a quarterly basis</w:t>
      </w:r>
      <w:r>
        <w:t xml:space="preserve">. </w:t>
      </w:r>
      <w:r w:rsidR="00AD4CCF">
        <w:t>Measure</w:t>
      </w:r>
      <w:r>
        <w:t xml:space="preserve">s 11 </w:t>
      </w:r>
      <w:r w:rsidR="00AD4CCF">
        <w:t>&amp;</w:t>
      </w:r>
      <w:r>
        <w:t xml:space="preserve"> 12 </w:t>
      </w:r>
      <w:r w:rsidR="00AD4CCF">
        <w:t xml:space="preserve">(above) </w:t>
      </w:r>
      <w:r>
        <w:t xml:space="preserve">are examples of </w:t>
      </w:r>
      <w:r w:rsidR="009A5B41">
        <w:t>customised m</w:t>
      </w:r>
      <w:r w:rsidR="00AD4CCF">
        <w:t>etric</w:t>
      </w:r>
      <w:r w:rsidR="009A5B41">
        <w:t>s that practice</w:t>
      </w:r>
      <w:r w:rsidR="00AD4CCF">
        <w:t>s</w:t>
      </w:r>
      <w:r w:rsidR="009A5B41">
        <w:t xml:space="preserve"> may choose to focus on to suit the local needs of their patients and their </w:t>
      </w:r>
      <w:r w:rsidR="00AD4CCF">
        <w:t xml:space="preserve">own practice </w:t>
      </w:r>
      <w:r w:rsidR="009A5B41">
        <w:t>improvement goals</w:t>
      </w:r>
      <w:r w:rsidR="00AD4CCF">
        <w:t xml:space="preserve"> as informed by their clinical information system data.</w:t>
      </w:r>
    </w:p>
    <w:sectPr w:rsidR="00EF251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86D2D" w14:textId="77777777" w:rsidR="00A22235" w:rsidRDefault="00A22235" w:rsidP="00E25500">
      <w:pPr>
        <w:spacing w:after="0" w:line="240" w:lineRule="auto"/>
      </w:pPr>
      <w:r>
        <w:separator/>
      </w:r>
    </w:p>
  </w:endnote>
  <w:endnote w:type="continuationSeparator" w:id="0">
    <w:p w14:paraId="320754D3" w14:textId="77777777" w:rsidR="00A22235" w:rsidRDefault="00A22235" w:rsidP="00E2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1AFAF" w14:textId="6BAC0CD5" w:rsidR="00E25500" w:rsidRDefault="00E25500" w:rsidP="00E25500">
    <w:pPr>
      <w:pStyle w:val="Footer"/>
      <w:rPr>
        <w:rFonts w:ascii="Arial Narrow" w:hAnsi="Arial Narrow"/>
        <w:b/>
        <w:color w:val="FFFFFF"/>
        <w:sz w:val="20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9309480" wp14:editId="0F73E1D9">
          <wp:simplePos x="0" y="0"/>
          <wp:positionH relativeFrom="column">
            <wp:posOffset>-679450</wp:posOffset>
          </wp:positionH>
          <wp:positionV relativeFrom="page">
            <wp:posOffset>9442450</wp:posOffset>
          </wp:positionV>
          <wp:extent cx="2010410" cy="78486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tbl>
    <w:tblPr>
      <w:tblW w:w="6412" w:type="dxa"/>
      <w:tblInd w:w="2235" w:type="dxa"/>
      <w:shd w:val="clear" w:color="auto" w:fill="0263AA"/>
      <w:tblLook w:val="04A0" w:firstRow="1" w:lastRow="0" w:firstColumn="1" w:lastColumn="0" w:noHBand="0" w:noVBand="1"/>
    </w:tblPr>
    <w:tblGrid>
      <w:gridCol w:w="6412"/>
    </w:tblGrid>
    <w:tr w:rsidR="00E25500" w14:paraId="1479E210" w14:textId="77777777" w:rsidTr="00E25500">
      <w:trPr>
        <w:trHeight w:val="227"/>
      </w:trPr>
      <w:tc>
        <w:tcPr>
          <w:tcW w:w="6412" w:type="dxa"/>
          <w:shd w:val="clear" w:color="auto" w:fill="0263AA"/>
          <w:vAlign w:val="center"/>
          <w:hideMark/>
        </w:tcPr>
        <w:p w14:paraId="769D8811" w14:textId="1F859AB7" w:rsidR="00E25500" w:rsidRDefault="00E25500" w:rsidP="00E25500">
          <w:pPr>
            <w:pStyle w:val="Footer"/>
            <w:tabs>
              <w:tab w:val="left" w:pos="600"/>
              <w:tab w:val="left" w:pos="4002"/>
            </w:tabs>
            <w:spacing w:line="276" w:lineRule="auto"/>
            <w:ind w:left="34"/>
            <w:rPr>
              <w:rFonts w:ascii="Arial Narrow" w:hAnsi="Arial Narrow"/>
              <w:b/>
              <w:color w:val="FFFFFF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36576" distB="36576" distL="36576" distR="36576" simplePos="0" relativeHeight="251660288" behindDoc="0" locked="0" layoutInCell="1" allowOverlap="1" wp14:anchorId="77BDACA4" wp14:editId="558662B5">
                    <wp:simplePos x="0" y="0"/>
                    <wp:positionH relativeFrom="column">
                      <wp:posOffset>2800985</wp:posOffset>
                    </wp:positionH>
                    <wp:positionV relativeFrom="paragraph">
                      <wp:posOffset>9943465</wp:posOffset>
                    </wp:positionV>
                    <wp:extent cx="4391025" cy="377190"/>
                    <wp:effectExtent l="0" t="0" r="9525" b="3810"/>
                    <wp:wrapNone/>
                    <wp:docPr id="13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91025" cy="377190"/>
                            </a:xfrm>
                            <a:prstGeom prst="rect">
                              <a:avLst/>
                            </a:prstGeom>
                            <a:solidFill>
                              <a:srgbClr val="0066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66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2950DFB" w14:textId="77777777" w:rsidR="00E25500" w:rsidRDefault="00E25500" w:rsidP="00E25500">
                                <w:pPr>
                                  <w:widowControl w:val="0"/>
                                  <w:spacing w:line="271" w:lineRule="aut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M: 0424 580 286      F: 9589 3161      A: PO Box 356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  <w:lang w:val="en-US"/>
                                  </w:rPr>
                                  <w:t>Jannali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NSW 2226</w:t>
                                </w:r>
                              </w:p>
                              <w:p w14:paraId="6B464081" w14:textId="77777777" w:rsidR="00E25500" w:rsidRDefault="00E25500" w:rsidP="00E25500">
                                <w:pPr>
                                  <w:widowControl w:val="0"/>
                                  <w:spacing w:line="271" w:lineRule="aut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W: www.traintmedical.com.au      E: enquiries@trainitmedical.com.au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BDACA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left:0;text-align:left;margin-left:220.55pt;margin-top:782.95pt;width:345.75pt;height:29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" fillcolor="#06f" stroked="f" strokecolor="#06f" insetpen="t">
                    <v:shadow color="#ccc"/>
                    <v:textbox inset="2.88pt,2.88pt,2.88pt,2.88pt">
                      <w:txbxContent>
                        <w:p w14:paraId="42950DFB" w14:textId="77777777" w:rsidR="00E25500" w:rsidRDefault="00E25500" w:rsidP="00E25500">
                          <w:pPr>
                            <w:widowControl w:val="0"/>
                            <w:spacing w:line="271" w:lineRule="aut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  <w:t xml:space="preserve">M: 0424 580 286      F: 9589 3161      A: PO Box 356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  <w:t>Jannali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  <w:t xml:space="preserve"> NSW 2226</w:t>
                          </w:r>
                        </w:p>
                        <w:p w14:paraId="6B464081" w14:textId="77777777" w:rsidR="00E25500" w:rsidRDefault="00E25500" w:rsidP="00E25500">
                          <w:pPr>
                            <w:widowControl w:val="0"/>
                            <w:spacing w:line="271" w:lineRule="aut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  <w:t xml:space="preserve">W: www.traintmedical.com.au      E: enquiries@trainitmedical.com.au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 Narrow" w:hAnsi="Arial Narrow"/>
              <w:b/>
              <w:color w:val="FFFFFF"/>
              <w:sz w:val="14"/>
              <w:szCs w:val="18"/>
            </w:rPr>
            <w:t xml:space="preserve">                     Summary sheets are designed to supplement Train IT Medical training. Contact us today:</w:t>
          </w:r>
        </w:p>
      </w:tc>
    </w:tr>
    <w:tr w:rsidR="00E25500" w14:paraId="5A243792" w14:textId="77777777" w:rsidTr="00E25500">
      <w:trPr>
        <w:trHeight w:val="303"/>
      </w:trPr>
      <w:tc>
        <w:tcPr>
          <w:tcW w:w="6412" w:type="dxa"/>
          <w:shd w:val="clear" w:color="auto" w:fill="0263AA"/>
          <w:vAlign w:val="center"/>
          <w:hideMark/>
        </w:tcPr>
        <w:p w14:paraId="22E22EA5" w14:textId="77777777" w:rsidR="00E25500" w:rsidRDefault="00E25500" w:rsidP="00E25500">
          <w:pPr>
            <w:pStyle w:val="Footer"/>
            <w:tabs>
              <w:tab w:val="left" w:pos="600"/>
              <w:tab w:val="left" w:pos="4002"/>
            </w:tabs>
            <w:spacing w:line="276" w:lineRule="auto"/>
            <w:ind w:left="34"/>
            <w:rPr>
              <w:rFonts w:ascii="Arial Narrow" w:hAnsi="Arial Narrow"/>
              <w:b/>
              <w:color w:val="FFFFFF"/>
              <w:sz w:val="20"/>
              <w:szCs w:val="18"/>
            </w:rPr>
          </w:pPr>
          <w:r>
            <w:rPr>
              <w:rFonts w:ascii="Arial Narrow" w:hAnsi="Arial Narrow"/>
              <w:b/>
              <w:color w:val="FFFFFF"/>
              <w:sz w:val="20"/>
              <w:szCs w:val="18"/>
            </w:rPr>
            <w:t xml:space="preserve">    enquiries@trainitmedical.com.au                        </w:t>
          </w:r>
          <w:hyperlink r:id="rId2" w:history="1">
            <w:r>
              <w:rPr>
                <w:rStyle w:val="Hyperlink"/>
                <w:rFonts w:ascii="Arial Narrow" w:hAnsi="Arial Narrow"/>
                <w:b/>
                <w:color w:val="FFFFFF"/>
                <w:sz w:val="20"/>
                <w:szCs w:val="18"/>
              </w:rPr>
              <w:t>www.trainitmedical.com.au</w:t>
            </w:r>
          </w:hyperlink>
        </w:p>
      </w:tc>
    </w:tr>
  </w:tbl>
  <w:p w14:paraId="3A74CEC1" w14:textId="32464C4C" w:rsidR="00E25500" w:rsidRDefault="00E25500" w:rsidP="00E25500">
    <w:pPr>
      <w:pStyle w:val="Footer"/>
      <w:jc w:val="center"/>
      <w:rPr>
        <w:sz w:val="14"/>
      </w:rPr>
    </w:pPr>
  </w:p>
  <w:p w14:paraId="7886602E" w14:textId="77777777" w:rsidR="00E25500" w:rsidRPr="00E25500" w:rsidRDefault="00E25500" w:rsidP="00E25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B0F36" w14:textId="77777777" w:rsidR="00A22235" w:rsidRDefault="00A22235" w:rsidP="00E25500">
      <w:pPr>
        <w:spacing w:after="0" w:line="240" w:lineRule="auto"/>
      </w:pPr>
      <w:r>
        <w:separator/>
      </w:r>
    </w:p>
  </w:footnote>
  <w:footnote w:type="continuationSeparator" w:id="0">
    <w:p w14:paraId="11423F70" w14:textId="77777777" w:rsidR="00A22235" w:rsidRDefault="00A22235" w:rsidP="00E2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889B5" w14:textId="49F4A24E" w:rsidR="00AD4CCF" w:rsidRDefault="00AD4CCF" w:rsidP="00AD4CCF">
    <w:pPr>
      <w:rPr>
        <w:b/>
        <w:bCs/>
        <w:color w:val="0070C0"/>
        <w:sz w:val="28"/>
        <w:szCs w:val="28"/>
      </w:rPr>
    </w:pPr>
    <w:r w:rsidRPr="002F7F8E">
      <w:rPr>
        <w:b/>
        <w:bCs/>
        <w:color w:val="0070C0"/>
        <w:sz w:val="28"/>
        <w:szCs w:val="28"/>
      </w:rPr>
      <w:t xml:space="preserve">PIP QI </w:t>
    </w:r>
    <w:r>
      <w:rPr>
        <w:b/>
        <w:bCs/>
        <w:color w:val="0070C0"/>
        <w:sz w:val="28"/>
        <w:szCs w:val="28"/>
      </w:rPr>
      <w:t>Measures</w:t>
    </w:r>
    <w:r w:rsidRPr="002F7F8E">
      <w:rPr>
        <w:b/>
        <w:bCs/>
        <w:color w:val="0070C0"/>
        <w:sz w:val="28"/>
        <w:szCs w:val="28"/>
      </w:rPr>
      <w:t xml:space="preserve"> Worksheet</w:t>
    </w:r>
    <w:r w:rsidR="008100F0">
      <w:rPr>
        <w:b/>
        <w:bCs/>
        <w:color w:val="0070C0"/>
        <w:sz w:val="28"/>
        <w:szCs w:val="28"/>
      </w:rPr>
      <w:t xml:space="preserve"> (by practitioner)</w:t>
    </w:r>
    <w:r w:rsidRPr="002F7F8E">
      <w:rPr>
        <w:b/>
        <w:bCs/>
        <w:color w:val="0070C0"/>
        <w:sz w:val="28"/>
        <w:szCs w:val="28"/>
      </w:rPr>
      <w:t xml:space="preserve"> </w:t>
    </w:r>
    <w:r>
      <w:rPr>
        <w:b/>
        <w:bCs/>
        <w:color w:val="0070C0"/>
        <w:sz w:val="28"/>
        <w:szCs w:val="28"/>
      </w:rPr>
      <w:t>–</w:t>
    </w:r>
    <w:r w:rsidRPr="002F7F8E">
      <w:rPr>
        <w:b/>
        <w:bCs/>
        <w:color w:val="0070C0"/>
        <w:sz w:val="28"/>
        <w:szCs w:val="28"/>
      </w:rPr>
      <w:t xml:space="preserve"> 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142B4"/>
    <w:multiLevelType w:val="hybridMultilevel"/>
    <w:tmpl w:val="4A3069BC"/>
    <w:lvl w:ilvl="0" w:tplc="3D2E7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4485"/>
    <w:multiLevelType w:val="hybridMultilevel"/>
    <w:tmpl w:val="B6E043C0"/>
    <w:lvl w:ilvl="0" w:tplc="851C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7010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74CB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765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86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E2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328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40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365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26056"/>
    <w:multiLevelType w:val="hybridMultilevel"/>
    <w:tmpl w:val="A1E678C8"/>
    <w:lvl w:ilvl="0" w:tplc="35205440"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7AE169A8"/>
    <w:multiLevelType w:val="hybridMultilevel"/>
    <w:tmpl w:val="497205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3E"/>
    <w:rsid w:val="00136AB9"/>
    <w:rsid w:val="002F7F8E"/>
    <w:rsid w:val="0031763E"/>
    <w:rsid w:val="005E2BCD"/>
    <w:rsid w:val="006533C4"/>
    <w:rsid w:val="00684F35"/>
    <w:rsid w:val="008100F0"/>
    <w:rsid w:val="0087510C"/>
    <w:rsid w:val="008B4C8E"/>
    <w:rsid w:val="009A5B41"/>
    <w:rsid w:val="00A22235"/>
    <w:rsid w:val="00AD4CCF"/>
    <w:rsid w:val="00DB5F33"/>
    <w:rsid w:val="00E25500"/>
    <w:rsid w:val="00EF251B"/>
    <w:rsid w:val="00FA14E2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545ED"/>
  <w15:chartTrackingRefBased/>
  <w15:docId w15:val="{91D61734-AE1D-41EF-B9E0-D761A01D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500"/>
  </w:style>
  <w:style w:type="paragraph" w:styleId="Footer">
    <w:name w:val="footer"/>
    <w:basedOn w:val="Normal"/>
    <w:link w:val="FooterChar"/>
    <w:uiPriority w:val="99"/>
    <w:unhideWhenUsed/>
    <w:rsid w:val="00E25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500"/>
  </w:style>
  <w:style w:type="character" w:styleId="Hyperlink">
    <w:name w:val="Hyperlink"/>
    <w:basedOn w:val="DefaultParagraphFont"/>
    <w:uiPriority w:val="99"/>
    <w:semiHidden/>
    <w:unhideWhenUsed/>
    <w:rsid w:val="00E255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2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initmedical.com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Cummins - Train IT Medical</dc:creator>
  <cp:keywords/>
  <dc:description/>
  <cp:lastModifiedBy>KATRINA OTTO</cp:lastModifiedBy>
  <cp:revision>2</cp:revision>
  <dcterms:created xsi:type="dcterms:W3CDTF">2019-10-25T17:07:00Z</dcterms:created>
  <dcterms:modified xsi:type="dcterms:W3CDTF">2019-10-25T17:07:00Z</dcterms:modified>
</cp:coreProperties>
</file>